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D033" w14:textId="62A282E1" w:rsidR="004E7619" w:rsidRPr="00321112" w:rsidRDefault="002C5BD7" w:rsidP="00EB3FB3">
      <w:pPr>
        <w:jc w:val="both"/>
        <w:rPr>
          <w:b/>
          <w:bCs/>
          <w:u w:val="single"/>
        </w:rPr>
      </w:pPr>
      <w:r w:rsidRPr="00321112">
        <w:rPr>
          <w:b/>
          <w:bCs/>
          <w:u w:val="single"/>
        </w:rPr>
        <w:t xml:space="preserve">Frequently Asked Questions:  Luminex and </w:t>
      </w:r>
      <w:proofErr w:type="spellStart"/>
      <w:r w:rsidRPr="00321112">
        <w:rPr>
          <w:b/>
          <w:bCs/>
          <w:u w:val="single"/>
        </w:rPr>
        <w:t>Olink</w:t>
      </w:r>
      <w:proofErr w:type="spellEnd"/>
      <w:r w:rsidRPr="00321112">
        <w:rPr>
          <w:b/>
          <w:bCs/>
          <w:u w:val="single"/>
        </w:rPr>
        <w:t xml:space="preserve"> Immunoassays at the HIMC</w:t>
      </w:r>
    </w:p>
    <w:p w14:paraId="0F83E774" w14:textId="52530E54" w:rsidR="002C5BD7" w:rsidRDefault="002C5BD7" w:rsidP="00EB3FB3">
      <w:pPr>
        <w:jc w:val="both"/>
      </w:pPr>
    </w:p>
    <w:p w14:paraId="4FD39D74" w14:textId="3C555AE5" w:rsidR="002C5BD7" w:rsidRDefault="002C5BD7" w:rsidP="00EB3FB3">
      <w:pPr>
        <w:jc w:val="both"/>
      </w:pPr>
      <w:r>
        <w:t xml:space="preserve">The HIMC offers two different multiplex assays for cytokine detection, Luminex and </w:t>
      </w:r>
      <w:proofErr w:type="spellStart"/>
      <w:r>
        <w:t>Olink</w:t>
      </w:r>
      <w:proofErr w:type="spellEnd"/>
      <w:r>
        <w:t>.  These assays use different technologies, and have panels targeting different but overlapping sets of cytokines</w:t>
      </w:r>
      <w:r w:rsidR="00321112">
        <w:t xml:space="preserve"> </w:t>
      </w:r>
      <w:r w:rsidR="001750E8">
        <w:t xml:space="preserve">for </w:t>
      </w:r>
      <w:hyperlink r:id="rId4" w:history="1">
        <w:r w:rsidR="001750E8" w:rsidRPr="00C01FC5">
          <w:rPr>
            <w:rStyle w:val="Hyperlink"/>
          </w:rPr>
          <w:t>Luminex</w:t>
        </w:r>
      </w:hyperlink>
      <w:r w:rsidR="001750E8">
        <w:t xml:space="preserve"> </w:t>
      </w:r>
      <w:r w:rsidR="00B41D70">
        <w:t xml:space="preserve">and </w:t>
      </w:r>
      <w:r w:rsidR="001750E8">
        <w:t xml:space="preserve">for </w:t>
      </w:r>
      <w:hyperlink r:id="rId5" w:history="1">
        <w:proofErr w:type="spellStart"/>
        <w:r w:rsidR="00C01FC5" w:rsidRPr="00C01FC5">
          <w:rPr>
            <w:rStyle w:val="Hyperlink"/>
          </w:rPr>
          <w:t>Olink</w:t>
        </w:r>
        <w:proofErr w:type="spellEnd"/>
      </w:hyperlink>
    </w:p>
    <w:p w14:paraId="7CD124EC" w14:textId="77777777" w:rsidR="002C5BD7" w:rsidRDefault="002C5BD7" w:rsidP="00EB3FB3">
      <w:pPr>
        <w:jc w:val="both"/>
      </w:pPr>
    </w:p>
    <w:p w14:paraId="57598767" w14:textId="5FB2CBCE" w:rsidR="002C5BD7" w:rsidRDefault="002C5BD7" w:rsidP="00EB3FB3">
      <w:pPr>
        <w:jc w:val="both"/>
      </w:pPr>
      <w:r w:rsidRPr="00321112">
        <w:rPr>
          <w:b/>
          <w:bCs/>
          <w:i/>
          <w:iCs/>
        </w:rPr>
        <w:t xml:space="preserve">Which assay is </w:t>
      </w:r>
      <w:r w:rsidR="00321112" w:rsidRPr="00321112">
        <w:rPr>
          <w:b/>
          <w:bCs/>
          <w:i/>
          <w:iCs/>
        </w:rPr>
        <w:t>best, i.e., most sensitive?</w:t>
      </w:r>
      <w:r w:rsidR="00321112">
        <w:t xml:space="preserve">  Overall, sensitivity is in the low </w:t>
      </w:r>
      <w:proofErr w:type="spellStart"/>
      <w:r w:rsidR="00321112">
        <w:t>pg</w:t>
      </w:r>
      <w:proofErr w:type="spellEnd"/>
      <w:r w:rsidR="00321112">
        <w:t>/ml range for both assays.  Because the antibody pairs vary between platforms, one or the other platform may be slightly better</w:t>
      </w:r>
      <w:r w:rsidR="001750E8">
        <w:t xml:space="preserve"> for a given shared target</w:t>
      </w:r>
      <w:r w:rsidR="00321112">
        <w:t xml:space="preserve">.  For example, we see better sensitivity with Luminex for IL-4 and IL-5, </w:t>
      </w:r>
      <w:r w:rsidR="00057952">
        <w:t xml:space="preserve">and </w:t>
      </w:r>
      <w:r w:rsidR="00496342">
        <w:t xml:space="preserve">IL-33, </w:t>
      </w:r>
      <w:r w:rsidR="00321112">
        <w:t xml:space="preserve">but similar sensitivity as </w:t>
      </w:r>
      <w:proofErr w:type="spellStart"/>
      <w:r w:rsidR="00321112">
        <w:t>Olink</w:t>
      </w:r>
      <w:proofErr w:type="spellEnd"/>
      <w:r w:rsidR="00321112">
        <w:t xml:space="preserve"> for many other cytokines.</w:t>
      </w:r>
    </w:p>
    <w:p w14:paraId="078046B4" w14:textId="5F250FC7" w:rsidR="00321112" w:rsidRDefault="00321112" w:rsidP="00EB3FB3">
      <w:pPr>
        <w:jc w:val="both"/>
      </w:pPr>
    </w:p>
    <w:p w14:paraId="2BDB1B76" w14:textId="0A56A466" w:rsidR="00321112" w:rsidRDefault="00321112" w:rsidP="00EB3FB3">
      <w:pPr>
        <w:jc w:val="both"/>
      </w:pPr>
      <w:r w:rsidRPr="00321112">
        <w:rPr>
          <w:b/>
          <w:bCs/>
          <w:i/>
          <w:iCs/>
        </w:rPr>
        <w:t>Is there a difference in sample requirement?</w:t>
      </w:r>
      <w:r>
        <w:t xml:space="preserve">  Yes, we need only ~</w:t>
      </w:r>
      <w:r w:rsidR="00496342">
        <w:t>20</w:t>
      </w:r>
      <w:r w:rsidR="00057952">
        <w:t xml:space="preserve"> </w:t>
      </w:r>
      <w:r>
        <w:t xml:space="preserve">ul sample for </w:t>
      </w:r>
      <w:proofErr w:type="spellStart"/>
      <w:r>
        <w:t>Olink</w:t>
      </w:r>
      <w:proofErr w:type="spellEnd"/>
      <w:r>
        <w:t>, whereas Luminex requires at least 100 ul</w:t>
      </w:r>
      <w:r w:rsidR="00496342">
        <w:t xml:space="preserve"> for serum or plasma</w:t>
      </w:r>
      <w:r>
        <w:t xml:space="preserve">, and 200 ul </w:t>
      </w:r>
      <w:r w:rsidR="00496342">
        <w:t>for supernatants</w:t>
      </w:r>
      <w:r w:rsidR="00C01FC5">
        <w:t xml:space="preserve"> or</w:t>
      </w:r>
      <w:r w:rsidR="00496342">
        <w:t xml:space="preserve"> homogenates.</w:t>
      </w:r>
      <w:r>
        <w:t xml:space="preserve">  Either platform can run matrices such as serum, plasma, tissue lysates, etc.  But please be sure that all samples to be compared are collected with the same matrix (e.g., EDTA plasma is not the same as heparin plasma).</w:t>
      </w:r>
    </w:p>
    <w:p w14:paraId="70A4AB59" w14:textId="784E6AE4" w:rsidR="009B37B7" w:rsidRDefault="009B37B7" w:rsidP="00EB3FB3">
      <w:pPr>
        <w:jc w:val="both"/>
      </w:pPr>
    </w:p>
    <w:p w14:paraId="26F68187" w14:textId="34483D19" w:rsidR="003842B4" w:rsidRDefault="009B37B7" w:rsidP="00EB3FB3">
      <w:pPr>
        <w:jc w:val="both"/>
      </w:pPr>
      <w:r w:rsidRPr="003D6168">
        <w:rPr>
          <w:b/>
          <w:bCs/>
          <w:i/>
          <w:iCs/>
        </w:rPr>
        <w:t>What about price</w:t>
      </w:r>
      <w:r w:rsidR="00B41D70">
        <w:rPr>
          <w:b/>
          <w:bCs/>
          <w:i/>
          <w:iCs/>
        </w:rPr>
        <w:t xml:space="preserve"> and number of samples</w:t>
      </w:r>
      <w:r w:rsidR="003842B4">
        <w:rPr>
          <w:b/>
          <w:bCs/>
          <w:i/>
          <w:iCs/>
        </w:rPr>
        <w:t xml:space="preserve">?  </w:t>
      </w:r>
      <w:r w:rsidR="003D6168">
        <w:t xml:space="preserve">Our standard </w:t>
      </w:r>
      <w:r>
        <w:t xml:space="preserve">Luminex </w:t>
      </w:r>
      <w:r w:rsidR="003D6168">
        <w:t>panels are</w:t>
      </w:r>
      <w:r>
        <w:t xml:space="preserve"> charged</w:t>
      </w:r>
      <w:r w:rsidR="003D6168">
        <w:t xml:space="preserve"> on a per-sample basis, regardless of the number of samples submitted.  This is because the assay is flexible to run various numbers of samples per batch.  But bear in mind that a full plate can accommodate a maximum of 4</w:t>
      </w:r>
      <w:r w:rsidR="00496342">
        <w:t>6</w:t>
      </w:r>
      <w:r w:rsidR="003D6168">
        <w:t xml:space="preserve"> duplicate samples</w:t>
      </w:r>
      <w:r w:rsidR="00496342">
        <w:t xml:space="preserve"> or 92 singlets (plus controls)</w:t>
      </w:r>
      <w:r w:rsidR="003D6168">
        <w:t xml:space="preserve">; so that </w:t>
      </w:r>
      <w:r w:rsidR="003842B4">
        <w:t>is the maximum batch size to plan for in larger studies (see next question about batching).</w:t>
      </w:r>
    </w:p>
    <w:p w14:paraId="056D5E33" w14:textId="4FC38412" w:rsidR="003842B4" w:rsidRDefault="003842B4" w:rsidP="00EB3FB3">
      <w:pPr>
        <w:jc w:val="both"/>
      </w:pPr>
    </w:p>
    <w:p w14:paraId="1AAE9390" w14:textId="3BCC72FF" w:rsidR="003842B4" w:rsidRDefault="003842B4" w:rsidP="00EB3FB3">
      <w:pPr>
        <w:jc w:val="both"/>
      </w:pPr>
      <w:proofErr w:type="spellStart"/>
      <w:r>
        <w:t>Olink</w:t>
      </w:r>
      <w:proofErr w:type="spellEnd"/>
      <w:r>
        <w:t xml:space="preserve"> assays have a fixed array configuration, that accommodates up to 88 samples + controls; they are charged </w:t>
      </w:r>
      <w:r w:rsidRPr="003842B4">
        <w:rPr>
          <w:i/>
          <w:iCs/>
        </w:rPr>
        <w:t>per array</w:t>
      </w:r>
      <w:r>
        <w:t xml:space="preserve">.  As such, </w:t>
      </w:r>
      <w:proofErr w:type="spellStart"/>
      <w:r>
        <w:t>Olink</w:t>
      </w:r>
      <w:proofErr w:type="spellEnd"/>
      <w:r>
        <w:t xml:space="preserve"> is only cost-effective if you have something close to a full array of samples. </w:t>
      </w:r>
    </w:p>
    <w:p w14:paraId="32B6DF7E" w14:textId="77777777" w:rsidR="003842B4" w:rsidRDefault="003842B4" w:rsidP="00EB3FB3">
      <w:pPr>
        <w:jc w:val="both"/>
      </w:pPr>
    </w:p>
    <w:p w14:paraId="7367ACE1" w14:textId="3E171F4A" w:rsidR="009B37B7" w:rsidRDefault="00CB7918" w:rsidP="00EB3FB3">
      <w:pPr>
        <w:jc w:val="both"/>
      </w:pPr>
      <w:r w:rsidRPr="00DE7D60">
        <w:rPr>
          <w:b/>
          <w:bCs/>
          <w:i/>
          <w:iCs/>
        </w:rPr>
        <w:t>Are there batch effects?</w:t>
      </w:r>
      <w:r>
        <w:t xml:space="preserve">  Like any assay, there can be some run-to-run differences in these assays (referred to as batch effects).  These</w:t>
      </w:r>
      <w:r w:rsidR="00DE7D60">
        <w:t xml:space="preserve"> are largely correctable by methods employed in HIMC.  However, such correction depends on balanced batch design.  This means that</w:t>
      </w:r>
      <w:r w:rsidR="003842B4">
        <w:t xml:space="preserve"> each batch should attempt to balance the samples by demographics and other relevant variables</w:t>
      </w:r>
      <w:r w:rsidR="00DE7D60">
        <w:t xml:space="preserve"> (treatment, outcome, case/control status, etc.)</w:t>
      </w:r>
      <w:r w:rsidR="003842B4">
        <w:t xml:space="preserve">.  For longitudinal studies, </w:t>
      </w:r>
      <w:r w:rsidR="00DE7D60">
        <w:t>all time points for a given participant should be contained in a single batch, if possible.</w:t>
      </w:r>
    </w:p>
    <w:p w14:paraId="181831A0" w14:textId="7334957F" w:rsidR="0062161F" w:rsidRDefault="0062161F" w:rsidP="00EB3FB3">
      <w:pPr>
        <w:jc w:val="both"/>
      </w:pPr>
    </w:p>
    <w:p w14:paraId="33C08856" w14:textId="757B8A4B" w:rsidR="0062161F" w:rsidRPr="0062161F" w:rsidRDefault="0062161F" w:rsidP="00EB3FB3">
      <w:pPr>
        <w:jc w:val="both"/>
        <w:rPr>
          <w:rFonts w:eastAsia="Times New Roman" w:cstheme="minorHAnsi"/>
        </w:rPr>
      </w:pPr>
      <w:r w:rsidRPr="0062161F">
        <w:rPr>
          <w:rFonts w:cstheme="minorHAnsi"/>
          <w:b/>
          <w:bCs/>
          <w:i/>
          <w:iCs/>
        </w:rPr>
        <w:t>Are there other technical issues?</w:t>
      </w:r>
      <w:r w:rsidRPr="0062161F">
        <w:rPr>
          <w:rFonts w:cstheme="minorHAnsi"/>
        </w:rPr>
        <w:t xml:space="preserve">  There can be issues of cross-reactivity or non-specific binding, more so in Luminex.  </w:t>
      </w:r>
      <w:r w:rsidRPr="0062161F">
        <w:rPr>
          <w:rFonts w:eastAsia="Times New Roman" w:cstheme="minorHAnsi"/>
          <w:color w:val="000000"/>
        </w:rPr>
        <w:t xml:space="preserve">The HIMC </w:t>
      </w:r>
      <w:r>
        <w:rPr>
          <w:rFonts w:eastAsia="Times New Roman" w:cstheme="minorHAnsi"/>
          <w:color w:val="000000"/>
        </w:rPr>
        <w:t>can</w:t>
      </w:r>
      <w:r w:rsidRPr="0062161F">
        <w:rPr>
          <w:rFonts w:eastAsia="Times New Roman" w:cstheme="minorHAnsi"/>
          <w:color w:val="000000"/>
        </w:rPr>
        <w:t xml:space="preserve"> remove the technical artifact of nonspecific binding in the Luminex assay (see J Immunol 204:3425-3433) but not in the </w:t>
      </w:r>
      <w:proofErr w:type="spellStart"/>
      <w:r w:rsidRPr="0062161F">
        <w:rPr>
          <w:rFonts w:eastAsia="Times New Roman" w:cstheme="minorHAnsi"/>
          <w:color w:val="000000"/>
        </w:rPr>
        <w:t>Olink</w:t>
      </w:r>
      <w:proofErr w:type="spellEnd"/>
      <w:r w:rsidRPr="0062161F">
        <w:rPr>
          <w:rFonts w:eastAsia="Times New Roman" w:cstheme="minorHAnsi"/>
          <w:color w:val="000000"/>
        </w:rPr>
        <w:t xml:space="preserve"> assay.</w:t>
      </w:r>
    </w:p>
    <w:p w14:paraId="531AC207" w14:textId="44926733" w:rsidR="00321112" w:rsidRPr="0062161F" w:rsidRDefault="00321112" w:rsidP="00EB3FB3">
      <w:pPr>
        <w:jc w:val="both"/>
        <w:rPr>
          <w:rFonts w:cstheme="minorHAnsi"/>
        </w:rPr>
      </w:pPr>
    </w:p>
    <w:p w14:paraId="3F8DF581" w14:textId="21B5A989" w:rsidR="00321112" w:rsidRPr="00EB3FB3" w:rsidRDefault="00321112" w:rsidP="00EB3FB3">
      <w:pPr>
        <w:jc w:val="both"/>
        <w:rPr>
          <w:rFonts w:eastAsia="Times New Roman" w:cstheme="minorHAnsi"/>
        </w:rPr>
      </w:pPr>
      <w:r w:rsidRPr="0062161F">
        <w:rPr>
          <w:rFonts w:cstheme="minorHAnsi"/>
          <w:b/>
          <w:bCs/>
          <w:i/>
          <w:iCs/>
        </w:rPr>
        <w:t>S</w:t>
      </w:r>
      <w:r w:rsidR="009B37B7" w:rsidRPr="0062161F">
        <w:rPr>
          <w:rFonts w:cstheme="minorHAnsi"/>
          <w:b/>
          <w:bCs/>
          <w:i/>
          <w:iCs/>
        </w:rPr>
        <w:t>hould samples be run in duplicate?</w:t>
      </w:r>
      <w:r w:rsidR="009B37B7" w:rsidRPr="0062161F">
        <w:rPr>
          <w:rFonts w:cstheme="minorHAnsi"/>
        </w:rPr>
        <w:t xml:space="preserve">  Our standard pricing includes duplicate wells for Luminex,</w:t>
      </w:r>
      <w:r w:rsidR="009B37B7">
        <w:t xml:space="preserve"> and we generally recommend running duplicates to permit averaging over technical variance.  However, some experimental designs, e.g., those involving cell stimulation, may </w:t>
      </w:r>
      <w:r w:rsidR="00EB3FB3">
        <w:t>set up replicates of each stimulation, which are then run only once on Luminex</w:t>
      </w:r>
      <w:r w:rsidR="009B37B7">
        <w:t>.  Still other experiments involv</w:t>
      </w:r>
      <w:r w:rsidR="00057952">
        <w:t>e</w:t>
      </w:r>
      <w:r w:rsidR="009B37B7">
        <w:t xml:space="preserve"> longitudinal time series, </w:t>
      </w:r>
      <w:r w:rsidR="00057952">
        <w:t>which can affect statistical power; feel free to contact our Statistical Director, Tyson Holmes (</w:t>
      </w:r>
      <w:hyperlink r:id="rId6" w:history="1">
        <w:r w:rsidR="00057952" w:rsidRPr="003E0621">
          <w:rPr>
            <w:rStyle w:val="Hyperlink"/>
          </w:rPr>
          <w:t>tholmes@stanford.edu</w:t>
        </w:r>
      </w:hyperlink>
      <w:r w:rsidR="00057952">
        <w:t xml:space="preserve">) to discuss sample sizes and </w:t>
      </w:r>
      <w:r w:rsidR="00057952" w:rsidRPr="00EB3FB3">
        <w:rPr>
          <w:rFonts w:cstheme="minorHAnsi"/>
        </w:rPr>
        <w:t xml:space="preserve">replicates in either </w:t>
      </w:r>
      <w:r w:rsidR="00057952" w:rsidRPr="00EB3FB3">
        <w:rPr>
          <w:rFonts w:cstheme="minorHAnsi"/>
        </w:rPr>
        <w:lastRenderedPageBreak/>
        <w:t>cross-sectional or longitudinal study designs.</w:t>
      </w:r>
      <w:r w:rsidR="00EB3FB3" w:rsidRPr="00EB3FB3">
        <w:rPr>
          <w:rFonts w:cstheme="minorHAnsi"/>
        </w:rPr>
        <w:t xml:space="preserve">  </w:t>
      </w:r>
      <w:r w:rsidR="00EB3FB3" w:rsidRPr="00EB3FB3">
        <w:rPr>
          <w:rFonts w:eastAsia="Times New Roman" w:cstheme="minorHAnsi"/>
          <w:color w:val="000000"/>
        </w:rPr>
        <w:t xml:space="preserve">For </w:t>
      </w:r>
      <w:proofErr w:type="spellStart"/>
      <w:r w:rsidR="00EB3FB3" w:rsidRPr="00EB3FB3">
        <w:rPr>
          <w:rFonts w:eastAsia="Times New Roman" w:cstheme="minorHAnsi"/>
          <w:color w:val="000000"/>
        </w:rPr>
        <w:t>Olink</w:t>
      </w:r>
      <w:proofErr w:type="spellEnd"/>
      <w:r w:rsidR="00EB3FB3" w:rsidRPr="00EB3FB3">
        <w:rPr>
          <w:rFonts w:eastAsia="Times New Roman" w:cstheme="minorHAnsi"/>
          <w:color w:val="000000"/>
        </w:rPr>
        <w:t>, our limited work suggests that technical coefficients of variation are low, so duplicates may be less necessary.</w:t>
      </w:r>
    </w:p>
    <w:p w14:paraId="582975E2" w14:textId="499C3233" w:rsidR="00DE7D60" w:rsidRPr="00EB3FB3" w:rsidRDefault="00DE7D60" w:rsidP="00EB3FB3">
      <w:pPr>
        <w:jc w:val="both"/>
        <w:rPr>
          <w:rFonts w:cstheme="minorHAnsi"/>
        </w:rPr>
      </w:pPr>
    </w:p>
    <w:p w14:paraId="083EA9DE" w14:textId="3F3C60B4" w:rsidR="00DE7D60" w:rsidRPr="001750E8" w:rsidRDefault="00DE7D60" w:rsidP="00EB3FB3">
      <w:pPr>
        <w:jc w:val="both"/>
        <w:rPr>
          <w:rFonts w:cstheme="minorHAnsi"/>
        </w:rPr>
      </w:pPr>
      <w:r w:rsidRPr="0062161F">
        <w:rPr>
          <w:b/>
          <w:bCs/>
          <w:i/>
          <w:iCs/>
        </w:rPr>
        <w:t>Can I run multiple assays on the same samples?</w:t>
      </w:r>
      <w:r>
        <w:t xml:space="preserve">  Yes, if sample volume allows</w:t>
      </w:r>
      <w:r w:rsidR="00DC1C07">
        <w:t xml:space="preserve"> </w:t>
      </w:r>
      <w:r w:rsidR="00057952">
        <w:t>(</w:t>
      </w:r>
      <w:r w:rsidR="00DC1C07">
        <w:t>and best to run</w:t>
      </w:r>
      <w:r>
        <w:t xml:space="preserve"> </w:t>
      </w:r>
      <w:r w:rsidR="00DC1C07">
        <w:t xml:space="preserve">singlets </w:t>
      </w:r>
      <w:r w:rsidR="00057952">
        <w:t xml:space="preserve">if assays are </w:t>
      </w:r>
      <w:r w:rsidR="00DC1C07">
        <w:t xml:space="preserve">to be </w:t>
      </w:r>
      <w:r w:rsidR="00057952">
        <w:t>done</w:t>
      </w:r>
      <w:r w:rsidR="00DC1C07">
        <w:t xml:space="preserve"> in </w:t>
      </w:r>
      <w:r w:rsidR="0062161F">
        <w:t>parallel</w:t>
      </w:r>
      <w:r w:rsidR="00057952">
        <w:t xml:space="preserve">). </w:t>
      </w:r>
      <w:r w:rsidR="0062161F">
        <w:t xml:space="preserve"> </w:t>
      </w:r>
      <w:r w:rsidR="00DC1C07">
        <w:t>Running both assays requires coordinat</w:t>
      </w:r>
      <w:r w:rsidR="00057952">
        <w:t>ion</w:t>
      </w:r>
      <w:r w:rsidR="00DC1C07">
        <w:t xml:space="preserve"> in advance. When assays are run </w:t>
      </w:r>
      <w:r w:rsidR="00057952">
        <w:t>sequentially,</w:t>
      </w:r>
      <w:r w:rsidR="00DC1C07">
        <w:t xml:space="preserve"> a slight freeze thaw effect </w:t>
      </w:r>
      <w:r w:rsidR="00057952">
        <w:t>may</w:t>
      </w:r>
      <w:r w:rsidR="00DC1C07">
        <w:t xml:space="preserve"> be noted. </w:t>
      </w:r>
      <w:r w:rsidR="0062161F">
        <w:t xml:space="preserve">For most cytokines, this will not have major impact, but it can create subtle differences.  Several freeze-thaws can definitely cause degradation </w:t>
      </w:r>
      <w:r w:rsidR="001750E8">
        <w:t xml:space="preserve">for </w:t>
      </w:r>
      <w:r w:rsidR="001750E8" w:rsidRPr="001750E8">
        <w:rPr>
          <w:rFonts w:cstheme="minorHAnsi"/>
        </w:rPr>
        <w:t>certain susceptible cytokines.</w:t>
      </w:r>
    </w:p>
    <w:p w14:paraId="7458D313" w14:textId="0EA67372" w:rsidR="001750E8" w:rsidRPr="001750E8" w:rsidRDefault="001750E8" w:rsidP="00EB3FB3">
      <w:pPr>
        <w:jc w:val="both"/>
        <w:rPr>
          <w:rFonts w:cstheme="minorHAnsi"/>
        </w:rPr>
      </w:pPr>
    </w:p>
    <w:p w14:paraId="38715CED" w14:textId="77777777" w:rsidR="001750E8" w:rsidRPr="001750E8" w:rsidRDefault="001750E8" w:rsidP="00EB3FB3">
      <w:pPr>
        <w:jc w:val="both"/>
        <w:rPr>
          <w:rFonts w:cstheme="minorHAnsi"/>
        </w:rPr>
      </w:pPr>
      <w:r w:rsidRPr="001750E8">
        <w:rPr>
          <w:rFonts w:cstheme="minorHAnsi"/>
          <w:color w:val="000000"/>
        </w:rPr>
        <w:t>Please contact us if you have further technical (</w:t>
      </w:r>
      <w:hyperlink r:id="rId7" w:history="1">
        <w:r w:rsidRPr="001750E8">
          <w:rPr>
            <w:rStyle w:val="Hyperlink"/>
            <w:rFonts w:cstheme="minorHAnsi"/>
          </w:rPr>
          <w:t>yaelhr@stanford.edu</w:t>
        </w:r>
      </w:hyperlink>
      <w:r w:rsidRPr="001750E8">
        <w:rPr>
          <w:rFonts w:cstheme="minorHAnsi"/>
          <w:color w:val="000000"/>
        </w:rPr>
        <w:t>) or statistical (</w:t>
      </w:r>
      <w:hyperlink r:id="rId8" w:history="1">
        <w:r w:rsidRPr="001750E8">
          <w:rPr>
            <w:rStyle w:val="Hyperlink"/>
            <w:rFonts w:cstheme="minorHAnsi"/>
          </w:rPr>
          <w:t>tholmes@stanford.edu</w:t>
        </w:r>
      </w:hyperlink>
      <w:r w:rsidRPr="001750E8">
        <w:rPr>
          <w:rFonts w:cstheme="minorHAnsi"/>
          <w:color w:val="000000"/>
        </w:rPr>
        <w:t xml:space="preserve">) questions about Luminex and </w:t>
      </w:r>
      <w:proofErr w:type="spellStart"/>
      <w:r w:rsidRPr="001750E8">
        <w:rPr>
          <w:rFonts w:cstheme="minorHAnsi"/>
          <w:color w:val="000000"/>
        </w:rPr>
        <w:t>Olink</w:t>
      </w:r>
      <w:proofErr w:type="spellEnd"/>
      <w:r w:rsidRPr="001750E8">
        <w:rPr>
          <w:rFonts w:cstheme="minorHAnsi"/>
          <w:color w:val="000000"/>
        </w:rPr>
        <w:t xml:space="preserve"> assays.</w:t>
      </w:r>
    </w:p>
    <w:p w14:paraId="22A7937D" w14:textId="77777777" w:rsidR="001750E8" w:rsidRPr="001750E8" w:rsidRDefault="001750E8" w:rsidP="00EB3FB3">
      <w:pPr>
        <w:jc w:val="both"/>
        <w:rPr>
          <w:rFonts w:cstheme="minorHAnsi"/>
        </w:rPr>
      </w:pPr>
    </w:p>
    <w:sectPr w:rsidR="001750E8" w:rsidRPr="001750E8" w:rsidSect="0089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D7"/>
    <w:rsid w:val="00057952"/>
    <w:rsid w:val="001750E8"/>
    <w:rsid w:val="002C5BD7"/>
    <w:rsid w:val="00321112"/>
    <w:rsid w:val="003842B4"/>
    <w:rsid w:val="003D6168"/>
    <w:rsid w:val="00496342"/>
    <w:rsid w:val="004E7619"/>
    <w:rsid w:val="00532AE6"/>
    <w:rsid w:val="0053507A"/>
    <w:rsid w:val="0062161F"/>
    <w:rsid w:val="008925A2"/>
    <w:rsid w:val="009B37B7"/>
    <w:rsid w:val="00B41D70"/>
    <w:rsid w:val="00C01FC5"/>
    <w:rsid w:val="00CB7918"/>
    <w:rsid w:val="00DC1C07"/>
    <w:rsid w:val="00DE7D60"/>
    <w:rsid w:val="00EB3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6D3CAE7"/>
  <w15:chartTrackingRefBased/>
  <w15:docId w15:val="{0AF3F907-C201-7E43-8B2F-73A6EAFD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70"/>
    <w:rPr>
      <w:color w:val="0563C1" w:themeColor="hyperlink"/>
      <w:u w:val="single"/>
    </w:rPr>
  </w:style>
  <w:style w:type="character" w:styleId="UnresolvedMention">
    <w:name w:val="Unresolved Mention"/>
    <w:basedOn w:val="DefaultParagraphFont"/>
    <w:uiPriority w:val="99"/>
    <w:semiHidden/>
    <w:unhideWhenUsed/>
    <w:rsid w:val="00B41D70"/>
    <w:rPr>
      <w:color w:val="605E5C"/>
      <w:shd w:val="clear" w:color="auto" w:fill="E1DFDD"/>
    </w:rPr>
  </w:style>
  <w:style w:type="character" w:styleId="CommentReference">
    <w:name w:val="annotation reference"/>
    <w:basedOn w:val="DefaultParagraphFont"/>
    <w:uiPriority w:val="99"/>
    <w:semiHidden/>
    <w:unhideWhenUsed/>
    <w:rsid w:val="0062161F"/>
    <w:rPr>
      <w:sz w:val="16"/>
      <w:szCs w:val="16"/>
    </w:rPr>
  </w:style>
  <w:style w:type="paragraph" w:styleId="CommentText">
    <w:name w:val="annotation text"/>
    <w:basedOn w:val="Normal"/>
    <w:link w:val="CommentTextChar"/>
    <w:uiPriority w:val="99"/>
    <w:semiHidden/>
    <w:unhideWhenUsed/>
    <w:rsid w:val="0062161F"/>
    <w:rPr>
      <w:sz w:val="20"/>
      <w:szCs w:val="20"/>
    </w:rPr>
  </w:style>
  <w:style w:type="character" w:customStyle="1" w:styleId="CommentTextChar">
    <w:name w:val="Comment Text Char"/>
    <w:basedOn w:val="DefaultParagraphFont"/>
    <w:link w:val="CommentText"/>
    <w:uiPriority w:val="99"/>
    <w:semiHidden/>
    <w:rsid w:val="0062161F"/>
    <w:rPr>
      <w:sz w:val="20"/>
      <w:szCs w:val="20"/>
    </w:rPr>
  </w:style>
  <w:style w:type="paragraph" w:styleId="CommentSubject">
    <w:name w:val="annotation subject"/>
    <w:basedOn w:val="CommentText"/>
    <w:next w:val="CommentText"/>
    <w:link w:val="CommentSubjectChar"/>
    <w:uiPriority w:val="99"/>
    <w:semiHidden/>
    <w:unhideWhenUsed/>
    <w:rsid w:val="0062161F"/>
    <w:rPr>
      <w:b/>
      <w:bCs/>
    </w:rPr>
  </w:style>
  <w:style w:type="character" w:customStyle="1" w:styleId="CommentSubjectChar">
    <w:name w:val="Comment Subject Char"/>
    <w:basedOn w:val="CommentTextChar"/>
    <w:link w:val="CommentSubject"/>
    <w:uiPriority w:val="99"/>
    <w:semiHidden/>
    <w:rsid w:val="0062161F"/>
    <w:rPr>
      <w:b/>
      <w:bCs/>
      <w:sz w:val="20"/>
      <w:szCs w:val="20"/>
    </w:rPr>
  </w:style>
  <w:style w:type="character" w:customStyle="1" w:styleId="apple-converted-space">
    <w:name w:val="apple-converted-space"/>
    <w:basedOn w:val="DefaultParagraphFont"/>
    <w:rsid w:val="0062161F"/>
  </w:style>
  <w:style w:type="character" w:styleId="FollowedHyperlink">
    <w:name w:val="FollowedHyperlink"/>
    <w:basedOn w:val="DefaultParagraphFont"/>
    <w:uiPriority w:val="99"/>
    <w:semiHidden/>
    <w:unhideWhenUsed/>
    <w:rsid w:val="00C01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8888">
      <w:bodyDiv w:val="1"/>
      <w:marLeft w:val="0"/>
      <w:marRight w:val="0"/>
      <w:marTop w:val="0"/>
      <w:marBottom w:val="0"/>
      <w:divBdr>
        <w:top w:val="none" w:sz="0" w:space="0" w:color="auto"/>
        <w:left w:val="none" w:sz="0" w:space="0" w:color="auto"/>
        <w:bottom w:val="none" w:sz="0" w:space="0" w:color="auto"/>
        <w:right w:val="none" w:sz="0" w:space="0" w:color="auto"/>
      </w:divBdr>
    </w:div>
    <w:div w:id="697849417">
      <w:bodyDiv w:val="1"/>
      <w:marLeft w:val="0"/>
      <w:marRight w:val="0"/>
      <w:marTop w:val="0"/>
      <w:marBottom w:val="0"/>
      <w:divBdr>
        <w:top w:val="none" w:sz="0" w:space="0" w:color="auto"/>
        <w:left w:val="none" w:sz="0" w:space="0" w:color="auto"/>
        <w:bottom w:val="none" w:sz="0" w:space="0" w:color="auto"/>
        <w:right w:val="none" w:sz="0" w:space="0" w:color="auto"/>
      </w:divBdr>
    </w:div>
    <w:div w:id="13940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lmes@stanford.edu" TargetMode="External"/><Relationship Id="rId3" Type="http://schemas.openxmlformats.org/officeDocument/2006/relationships/webSettings" Target="webSettings.xml"/><Relationship Id="rId7" Type="http://schemas.openxmlformats.org/officeDocument/2006/relationships/hyperlink" Target="mailto:yaelhr@stan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lmes@stanford.edu" TargetMode="External"/><Relationship Id="rId5" Type="http://schemas.openxmlformats.org/officeDocument/2006/relationships/hyperlink" Target="https://www.olink.com/products/target/inflammation/" TargetMode="External"/><Relationship Id="rId10" Type="http://schemas.openxmlformats.org/officeDocument/2006/relationships/theme" Target="theme/theme1.xml"/><Relationship Id="rId4" Type="http://schemas.openxmlformats.org/officeDocument/2006/relationships/hyperlink" Target="https://iti.stanford.edu/himc/immunoassay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Terry Maecker</dc:creator>
  <cp:keywords/>
  <dc:description/>
  <cp:lastModifiedBy>Holden Terry Maecker</cp:lastModifiedBy>
  <cp:revision>3</cp:revision>
  <dcterms:created xsi:type="dcterms:W3CDTF">2021-09-14T00:06:00Z</dcterms:created>
  <dcterms:modified xsi:type="dcterms:W3CDTF">2021-09-14T15:15:00Z</dcterms:modified>
</cp:coreProperties>
</file>